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1CA9" w:rsidRDefault="00EC1CA9" w:rsidP="00CB7B4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Лекция </w:t>
      </w:r>
    </w:p>
    <w:tbl>
      <w:tblPr>
        <w:tblStyle w:val="a5"/>
        <w:tblW w:w="9322" w:type="dxa"/>
        <w:tblLook w:val="04A0"/>
      </w:tblPr>
      <w:tblGrid>
        <w:gridCol w:w="817"/>
        <w:gridCol w:w="8505"/>
      </w:tblGrid>
      <w:tr w:rsidR="00EC1CA9" w:rsidTr="00EC1CA9">
        <w:tc>
          <w:tcPr>
            <w:tcW w:w="817" w:type="dxa"/>
          </w:tcPr>
          <w:p w:rsidR="00EC1CA9" w:rsidRDefault="00EC1CA9" w:rsidP="00CB7B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8505" w:type="dxa"/>
          </w:tcPr>
          <w:p w:rsidR="00EC1CA9" w:rsidRPr="00EC1CA9" w:rsidRDefault="00EC1CA9" w:rsidP="00DA36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1CA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Название темы</w:t>
            </w:r>
          </w:p>
        </w:tc>
      </w:tr>
      <w:tr w:rsidR="00EC1CA9" w:rsidTr="00EC1CA9">
        <w:tc>
          <w:tcPr>
            <w:tcW w:w="817" w:type="dxa"/>
          </w:tcPr>
          <w:p w:rsidR="00EC1CA9" w:rsidRDefault="00EC1CA9" w:rsidP="00CB7B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05" w:type="dxa"/>
          </w:tcPr>
          <w:p w:rsidR="00EC1CA9" w:rsidRDefault="00EC1CA9" w:rsidP="00EC1CA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1CA9">
              <w:rPr>
                <w:rFonts w:ascii="Times New Roman" w:hAnsi="Times New Roman" w:cs="Times New Roman"/>
                <w:sz w:val="28"/>
                <w:szCs w:val="28"/>
              </w:rPr>
              <w:t>Элементарная небесная и гамильтонова механика. Уравнения движения.</w:t>
            </w:r>
            <w:r w:rsidRPr="00EC1CA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Элементы орбит.</w:t>
            </w:r>
          </w:p>
        </w:tc>
      </w:tr>
      <w:tr w:rsidR="00EC1CA9" w:rsidTr="00EC1CA9">
        <w:tc>
          <w:tcPr>
            <w:tcW w:w="817" w:type="dxa"/>
          </w:tcPr>
          <w:p w:rsidR="00EC1CA9" w:rsidRDefault="00EC1CA9" w:rsidP="00CB7B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05" w:type="dxa"/>
          </w:tcPr>
          <w:p w:rsidR="00EC1CA9" w:rsidRDefault="00EC1CA9" w:rsidP="00EC1CA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1CA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Возмущения задачи двух тел</w:t>
            </w:r>
          </w:p>
        </w:tc>
      </w:tr>
      <w:tr w:rsidR="00EC1CA9" w:rsidTr="00EC1CA9">
        <w:tc>
          <w:tcPr>
            <w:tcW w:w="817" w:type="dxa"/>
          </w:tcPr>
          <w:p w:rsidR="00EC1CA9" w:rsidRDefault="00EC1CA9" w:rsidP="00CB7B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505" w:type="dxa"/>
          </w:tcPr>
          <w:p w:rsidR="00EC1CA9" w:rsidRDefault="00EC1CA9" w:rsidP="00EC1CA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1CA9">
              <w:rPr>
                <w:rFonts w:ascii="Times New Roman" w:hAnsi="Times New Roman" w:cs="Times New Roman"/>
                <w:sz w:val="28"/>
                <w:szCs w:val="28"/>
              </w:rPr>
              <w:t>Гамильтоновы системы и задача двух тел</w:t>
            </w:r>
          </w:p>
        </w:tc>
      </w:tr>
      <w:tr w:rsidR="00EC1CA9" w:rsidTr="00EC1CA9">
        <w:tc>
          <w:tcPr>
            <w:tcW w:w="817" w:type="dxa"/>
          </w:tcPr>
          <w:p w:rsidR="00EC1CA9" w:rsidRDefault="00EC1CA9" w:rsidP="00CB7B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505" w:type="dxa"/>
          </w:tcPr>
          <w:p w:rsidR="00EC1CA9" w:rsidRDefault="00EC1CA9" w:rsidP="00EC1CA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1CA9">
              <w:rPr>
                <w:rFonts w:ascii="Times New Roman" w:hAnsi="Times New Roman" w:cs="Times New Roman"/>
                <w:sz w:val="28"/>
                <w:szCs w:val="28"/>
              </w:rPr>
              <w:t>Канонические преобразования</w:t>
            </w:r>
          </w:p>
        </w:tc>
      </w:tr>
      <w:tr w:rsidR="00EC1CA9" w:rsidTr="00EC1CA9">
        <w:tc>
          <w:tcPr>
            <w:tcW w:w="817" w:type="dxa"/>
          </w:tcPr>
          <w:p w:rsidR="00EC1CA9" w:rsidRDefault="00EC1CA9" w:rsidP="00CB7B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505" w:type="dxa"/>
          </w:tcPr>
          <w:p w:rsidR="00EC1CA9" w:rsidRDefault="00EC1CA9" w:rsidP="00EC1CA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1CA9">
              <w:rPr>
                <w:rFonts w:ascii="Times New Roman" w:hAnsi="Times New Roman" w:cs="Times New Roman"/>
                <w:bCs/>
                <w:sz w:val="28"/>
                <w:szCs w:val="28"/>
              </w:rPr>
              <w:t>Свойства гамильтонова потока</w:t>
            </w:r>
          </w:p>
        </w:tc>
      </w:tr>
      <w:tr w:rsidR="00EC1CA9" w:rsidTr="00EC1CA9">
        <w:tc>
          <w:tcPr>
            <w:tcW w:w="817" w:type="dxa"/>
          </w:tcPr>
          <w:p w:rsidR="00EC1CA9" w:rsidRDefault="00EC1CA9" w:rsidP="00CB7B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505" w:type="dxa"/>
          </w:tcPr>
          <w:p w:rsidR="00EC1CA9" w:rsidRDefault="00EC1CA9" w:rsidP="00EC1CA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1CA9">
              <w:rPr>
                <w:rFonts w:ascii="Times New Roman" w:hAnsi="Times New Roman" w:cs="Times New Roman"/>
                <w:sz w:val="28"/>
                <w:szCs w:val="28"/>
              </w:rPr>
              <w:t>Интегрируемые гамильтонианы</w:t>
            </w:r>
          </w:p>
        </w:tc>
      </w:tr>
      <w:tr w:rsidR="00EC1CA9" w:rsidTr="00EC1CA9">
        <w:tc>
          <w:tcPr>
            <w:tcW w:w="817" w:type="dxa"/>
          </w:tcPr>
          <w:p w:rsidR="00EC1CA9" w:rsidRDefault="00EC1CA9" w:rsidP="00CB7B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8505" w:type="dxa"/>
          </w:tcPr>
          <w:p w:rsidR="00EC1CA9" w:rsidRDefault="00EC1CA9" w:rsidP="00EC1CA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1CA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Переменные «действие </w:t>
            </w:r>
            <w:proofErr w:type="gramStart"/>
            <w:r w:rsidRPr="00EC1CA9">
              <w:rPr>
                <w:rFonts w:ascii="Times New Roman" w:hAnsi="Times New Roman" w:cs="Times New Roman"/>
                <w:bCs/>
                <w:sz w:val="28"/>
                <w:szCs w:val="28"/>
              </w:rPr>
              <w:t>-у</w:t>
            </w:r>
            <w:proofErr w:type="gramEnd"/>
            <w:r w:rsidRPr="00EC1CA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гол». Переменные </w:t>
            </w:r>
            <w:proofErr w:type="gramStart"/>
            <w:r w:rsidRPr="00EC1CA9">
              <w:rPr>
                <w:rFonts w:ascii="Times New Roman" w:hAnsi="Times New Roman" w:cs="Times New Roman"/>
                <w:bCs/>
                <w:sz w:val="28"/>
                <w:szCs w:val="28"/>
              </w:rPr>
              <w:t>Делоне</w:t>
            </w:r>
            <w:proofErr w:type="gramEnd"/>
            <w:r w:rsidRPr="00EC1CA9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</w:tc>
      </w:tr>
      <w:tr w:rsidR="00EC1CA9" w:rsidTr="00EC1CA9">
        <w:tc>
          <w:tcPr>
            <w:tcW w:w="817" w:type="dxa"/>
          </w:tcPr>
          <w:p w:rsidR="00EC1CA9" w:rsidRDefault="00EC1CA9" w:rsidP="00CB7B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8505" w:type="dxa"/>
          </w:tcPr>
          <w:p w:rsidR="00EC1CA9" w:rsidRDefault="00EC1CA9" w:rsidP="00EC1CA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1CA9">
              <w:rPr>
                <w:rFonts w:ascii="Times New Roman" w:hAnsi="Times New Roman" w:cs="Times New Roman"/>
                <w:bCs/>
                <w:sz w:val="28"/>
                <w:szCs w:val="28"/>
              </w:rPr>
              <w:t>Гамильтоновы уравнения в переменных Делоне для ограниченной  и планетной задач. Правила Даламбера. Интегрируемая динамика.</w:t>
            </w:r>
          </w:p>
        </w:tc>
      </w:tr>
      <w:tr w:rsidR="00EC1CA9" w:rsidTr="00EC1CA9">
        <w:tc>
          <w:tcPr>
            <w:tcW w:w="817" w:type="dxa"/>
          </w:tcPr>
          <w:p w:rsidR="00EC1CA9" w:rsidRDefault="00EC1CA9" w:rsidP="00CB7B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8505" w:type="dxa"/>
          </w:tcPr>
          <w:p w:rsidR="00EC1CA9" w:rsidRDefault="00EC1CA9" w:rsidP="00EC1CA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1CA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Квазиинтегрируемые гамильтоновы системы. Введение в теорию возмущений.</w:t>
            </w:r>
          </w:p>
        </w:tc>
      </w:tr>
      <w:tr w:rsidR="00EC1CA9" w:rsidTr="00EC1CA9">
        <w:tc>
          <w:tcPr>
            <w:tcW w:w="817" w:type="dxa"/>
          </w:tcPr>
          <w:p w:rsidR="00EC1CA9" w:rsidRDefault="00EC1CA9" w:rsidP="00CB7B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8505" w:type="dxa"/>
          </w:tcPr>
          <w:p w:rsidR="00EC1CA9" w:rsidRDefault="00EC1CA9" w:rsidP="00EC1CA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1CA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Подход с применением рядов Ли</w:t>
            </w:r>
          </w:p>
        </w:tc>
      </w:tr>
      <w:tr w:rsidR="00EC1CA9" w:rsidTr="00EC1CA9">
        <w:tc>
          <w:tcPr>
            <w:tcW w:w="817" w:type="dxa"/>
          </w:tcPr>
          <w:p w:rsidR="00EC1CA9" w:rsidRDefault="00EC1CA9" w:rsidP="00CB7B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8505" w:type="dxa"/>
          </w:tcPr>
          <w:p w:rsidR="00EC1CA9" w:rsidRDefault="00EC1CA9" w:rsidP="00EC1CA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1CA9">
              <w:rPr>
                <w:rFonts w:ascii="Times New Roman" w:hAnsi="Times New Roman" w:cs="Times New Roman"/>
                <w:sz w:val="28"/>
                <w:szCs w:val="28"/>
              </w:rPr>
              <w:t>Проблема малых делителей. Нормальные формы.</w:t>
            </w:r>
          </w:p>
        </w:tc>
      </w:tr>
      <w:tr w:rsidR="00EC1CA9" w:rsidTr="00EC1CA9">
        <w:tc>
          <w:tcPr>
            <w:tcW w:w="817" w:type="dxa"/>
          </w:tcPr>
          <w:p w:rsidR="00EC1CA9" w:rsidRDefault="00EC1CA9" w:rsidP="00CB7B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8505" w:type="dxa"/>
          </w:tcPr>
          <w:p w:rsidR="00EC1CA9" w:rsidRDefault="00EC1CA9" w:rsidP="00EC1CA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1CA9">
              <w:rPr>
                <w:rFonts w:ascii="Times New Roman" w:hAnsi="Times New Roman" w:cs="Times New Roman"/>
                <w:sz w:val="28"/>
                <w:szCs w:val="28"/>
              </w:rPr>
              <w:t>Порядки выше первого. Пример вычисления оптимального порядка нормальной формы.</w:t>
            </w:r>
          </w:p>
        </w:tc>
      </w:tr>
      <w:tr w:rsidR="00EC1CA9" w:rsidTr="00EC1CA9">
        <w:tc>
          <w:tcPr>
            <w:tcW w:w="817" w:type="dxa"/>
          </w:tcPr>
          <w:p w:rsidR="00EC1CA9" w:rsidRDefault="00EC1CA9" w:rsidP="00CB7B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8505" w:type="dxa"/>
          </w:tcPr>
          <w:p w:rsidR="00EC1CA9" w:rsidRDefault="00EC1CA9" w:rsidP="00EC1CA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1CA9">
              <w:rPr>
                <w:rFonts w:ascii="Times New Roman" w:hAnsi="Times New Roman" w:cs="Times New Roman"/>
                <w:sz w:val="28"/>
                <w:szCs w:val="28"/>
              </w:rPr>
              <w:t>Усреднение по средним движениям. Вековая нормальная форма.</w:t>
            </w:r>
          </w:p>
        </w:tc>
      </w:tr>
      <w:tr w:rsidR="00EC1CA9" w:rsidTr="00EC1CA9">
        <w:tc>
          <w:tcPr>
            <w:tcW w:w="817" w:type="dxa"/>
          </w:tcPr>
          <w:p w:rsidR="00EC1CA9" w:rsidRDefault="00EC1CA9" w:rsidP="00CB7B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8505" w:type="dxa"/>
          </w:tcPr>
          <w:p w:rsidR="00EC1CA9" w:rsidRDefault="00EC1CA9" w:rsidP="00EC1CA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1CA9">
              <w:rPr>
                <w:rFonts w:ascii="Times New Roman" w:hAnsi="Times New Roman" w:cs="Times New Roman"/>
                <w:sz w:val="28"/>
                <w:szCs w:val="28"/>
              </w:rPr>
              <w:t>Резонансная нормальная форма для резонансов средних движений.</w:t>
            </w:r>
          </w:p>
        </w:tc>
      </w:tr>
      <w:tr w:rsidR="00EC1CA9" w:rsidTr="00EC1CA9">
        <w:tc>
          <w:tcPr>
            <w:tcW w:w="817" w:type="dxa"/>
          </w:tcPr>
          <w:p w:rsidR="00EC1CA9" w:rsidRDefault="00EC1CA9" w:rsidP="00CB7B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8505" w:type="dxa"/>
          </w:tcPr>
          <w:p w:rsidR="00EC1CA9" w:rsidRDefault="00EC1CA9" w:rsidP="00EC1CA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1CA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КАМ-торы. Теорема Колмогорова. Эскиз докозательства теоремы Колмогорова.</w:t>
            </w:r>
          </w:p>
        </w:tc>
      </w:tr>
      <w:tr w:rsidR="00EC1CA9" w:rsidTr="00EC1CA9">
        <w:tc>
          <w:tcPr>
            <w:tcW w:w="817" w:type="dxa"/>
          </w:tcPr>
          <w:p w:rsidR="00EC1CA9" w:rsidRDefault="00EC1CA9" w:rsidP="00CB7B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8505" w:type="dxa"/>
          </w:tcPr>
          <w:p w:rsidR="00EC1CA9" w:rsidRDefault="00EC1CA9" w:rsidP="00EC1CA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1CA9">
              <w:rPr>
                <w:rFonts w:ascii="Times New Roman" w:hAnsi="Times New Roman" w:cs="Times New Roman"/>
                <w:sz w:val="28"/>
                <w:szCs w:val="28"/>
              </w:rPr>
              <w:t xml:space="preserve">Свойство </w:t>
            </w:r>
            <w:proofErr w:type="spellStart"/>
            <w:r w:rsidRPr="00EC1CA9">
              <w:rPr>
                <w:rFonts w:ascii="Times New Roman" w:hAnsi="Times New Roman" w:cs="Times New Roman"/>
                <w:sz w:val="28"/>
                <w:szCs w:val="28"/>
              </w:rPr>
              <w:t>КАМ-торов</w:t>
            </w:r>
            <w:proofErr w:type="spellEnd"/>
            <w:r w:rsidRPr="00EC1CA9">
              <w:rPr>
                <w:rFonts w:ascii="Times New Roman" w:hAnsi="Times New Roman" w:cs="Times New Roman"/>
                <w:sz w:val="28"/>
                <w:szCs w:val="28"/>
              </w:rPr>
              <w:t>. Численные примеры.</w:t>
            </w:r>
          </w:p>
        </w:tc>
      </w:tr>
      <w:tr w:rsidR="00EC1CA9" w:rsidTr="00EC1CA9">
        <w:tc>
          <w:tcPr>
            <w:tcW w:w="817" w:type="dxa"/>
          </w:tcPr>
          <w:p w:rsidR="00EC1CA9" w:rsidRDefault="00EC1CA9" w:rsidP="00CB7B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8505" w:type="dxa"/>
          </w:tcPr>
          <w:p w:rsidR="00EC1CA9" w:rsidRDefault="00EC1CA9" w:rsidP="00EC1CA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1CA9">
              <w:rPr>
                <w:rFonts w:ascii="Times New Roman" w:hAnsi="Times New Roman" w:cs="Times New Roman"/>
                <w:sz w:val="28"/>
                <w:szCs w:val="28"/>
              </w:rPr>
              <w:t>Динамика одиночного резонанса. Интегрируемое приближение.</w:t>
            </w:r>
          </w:p>
        </w:tc>
      </w:tr>
      <w:tr w:rsidR="00EC1CA9" w:rsidTr="00EC1CA9">
        <w:tc>
          <w:tcPr>
            <w:tcW w:w="817" w:type="dxa"/>
          </w:tcPr>
          <w:p w:rsidR="00EC1CA9" w:rsidRDefault="00EC1CA9" w:rsidP="00CB7B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8505" w:type="dxa"/>
          </w:tcPr>
          <w:p w:rsidR="00EC1CA9" w:rsidRDefault="00EC1CA9" w:rsidP="00EC1CA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1CA9">
              <w:rPr>
                <w:rFonts w:ascii="Times New Roman" w:hAnsi="Times New Roman" w:cs="Times New Roman"/>
                <w:sz w:val="28"/>
                <w:szCs w:val="28"/>
              </w:rPr>
              <w:t>Резонансные переменные «действие - угол». Возмущенная резонансная динамика. Величина остатка.</w:t>
            </w:r>
          </w:p>
        </w:tc>
      </w:tr>
      <w:tr w:rsidR="00EC1CA9" w:rsidTr="00EC1CA9">
        <w:tc>
          <w:tcPr>
            <w:tcW w:w="817" w:type="dxa"/>
          </w:tcPr>
          <w:p w:rsidR="00EC1CA9" w:rsidRDefault="00EC1CA9" w:rsidP="00CB7B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8505" w:type="dxa"/>
          </w:tcPr>
          <w:p w:rsidR="00EC1CA9" w:rsidRDefault="00EC1CA9" w:rsidP="00EC1CA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1CA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Численные инструменты для выявления хаоса. Наблюдение временной эволюции в фазовом пространстве.</w:t>
            </w:r>
          </w:p>
        </w:tc>
      </w:tr>
      <w:tr w:rsidR="00EC1CA9" w:rsidTr="00EC1CA9">
        <w:tc>
          <w:tcPr>
            <w:tcW w:w="817" w:type="dxa"/>
          </w:tcPr>
          <w:p w:rsidR="00EC1CA9" w:rsidRDefault="00EC1CA9" w:rsidP="00CB7B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8505" w:type="dxa"/>
          </w:tcPr>
          <w:p w:rsidR="00EC1CA9" w:rsidRDefault="00EC1CA9" w:rsidP="00EC1CA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1CA9">
              <w:rPr>
                <w:rFonts w:ascii="Times New Roman" w:hAnsi="Times New Roman" w:cs="Times New Roman"/>
                <w:sz w:val="28"/>
                <w:szCs w:val="28"/>
              </w:rPr>
              <w:t>Показатели Ляпунова. Вычисление МПЛ.</w:t>
            </w:r>
          </w:p>
        </w:tc>
      </w:tr>
      <w:tr w:rsidR="00EC1CA9" w:rsidTr="00EC1CA9">
        <w:tc>
          <w:tcPr>
            <w:tcW w:w="817" w:type="dxa"/>
          </w:tcPr>
          <w:p w:rsidR="00EC1CA9" w:rsidRDefault="00EC1CA9" w:rsidP="00CB7B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8505" w:type="dxa"/>
          </w:tcPr>
          <w:p w:rsidR="00EC1CA9" w:rsidRDefault="00EC1CA9" w:rsidP="00EC1CA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1CA9">
              <w:rPr>
                <w:rFonts w:ascii="Times New Roman" w:hAnsi="Times New Roman" w:cs="Times New Roman"/>
                <w:sz w:val="28"/>
                <w:szCs w:val="28"/>
              </w:rPr>
              <w:t>Суррогаты. Быстрый индикатор Ляпунова. Углы спиральности и закручивания.</w:t>
            </w:r>
          </w:p>
        </w:tc>
      </w:tr>
      <w:tr w:rsidR="00EC1CA9" w:rsidTr="00EC1CA9">
        <w:tc>
          <w:tcPr>
            <w:tcW w:w="817" w:type="dxa"/>
          </w:tcPr>
          <w:p w:rsidR="00EC1CA9" w:rsidRDefault="00EC1CA9" w:rsidP="00CB7B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8505" w:type="dxa"/>
          </w:tcPr>
          <w:p w:rsidR="00EC1CA9" w:rsidRDefault="00EC1CA9" w:rsidP="00EC1CA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1CA9">
              <w:rPr>
                <w:rFonts w:ascii="Times New Roman" w:hAnsi="Times New Roman" w:cs="Times New Roman"/>
                <w:sz w:val="28"/>
                <w:szCs w:val="28"/>
              </w:rPr>
              <w:t xml:space="preserve">Средний фактор </w:t>
            </w:r>
            <w:proofErr w:type="gramStart"/>
            <w:r w:rsidRPr="00EC1CA9">
              <w:rPr>
                <w:rFonts w:ascii="Times New Roman" w:hAnsi="Times New Roman" w:cs="Times New Roman"/>
                <w:sz w:val="28"/>
                <w:szCs w:val="28"/>
              </w:rPr>
              <w:t>экспоненциальной</w:t>
            </w:r>
            <w:proofErr w:type="gramEnd"/>
            <w:r w:rsidRPr="00EC1CA9">
              <w:rPr>
                <w:rFonts w:ascii="Times New Roman" w:hAnsi="Times New Roman" w:cs="Times New Roman"/>
                <w:sz w:val="28"/>
                <w:szCs w:val="28"/>
              </w:rPr>
              <w:t xml:space="preserve"> расходимости близких орбит. </w:t>
            </w:r>
            <w:proofErr w:type="gramStart"/>
            <w:r w:rsidRPr="00EC1CA9">
              <w:rPr>
                <w:rFonts w:ascii="Times New Roman" w:hAnsi="Times New Roman" w:cs="Times New Roman"/>
                <w:sz w:val="28"/>
                <w:szCs w:val="28"/>
              </w:rPr>
              <w:t>Средние</w:t>
            </w:r>
            <w:proofErr w:type="gramEnd"/>
            <w:r w:rsidRPr="00EC1CA9">
              <w:rPr>
                <w:rFonts w:ascii="Times New Roman" w:hAnsi="Times New Roman" w:cs="Times New Roman"/>
                <w:sz w:val="28"/>
                <w:szCs w:val="28"/>
              </w:rPr>
              <w:t>, максимальные и минимальные значение действие.</w:t>
            </w:r>
          </w:p>
        </w:tc>
      </w:tr>
      <w:tr w:rsidR="00EC1CA9" w:rsidTr="00EC1CA9">
        <w:tc>
          <w:tcPr>
            <w:tcW w:w="817" w:type="dxa"/>
          </w:tcPr>
          <w:p w:rsidR="00EC1CA9" w:rsidRDefault="00EC1CA9" w:rsidP="00CB7B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8505" w:type="dxa"/>
          </w:tcPr>
          <w:p w:rsidR="00EC1CA9" w:rsidRDefault="00EC1CA9" w:rsidP="00EC1CA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1CA9">
              <w:rPr>
                <w:rFonts w:ascii="Times New Roman" w:hAnsi="Times New Roman" w:cs="Times New Roman"/>
                <w:sz w:val="28"/>
                <w:szCs w:val="28"/>
              </w:rPr>
              <w:t>Взаимодействие резонансов. Две степени свободы. Гетероклинические пересечения.</w:t>
            </w:r>
          </w:p>
        </w:tc>
      </w:tr>
      <w:tr w:rsidR="00EC1CA9" w:rsidTr="00EC1CA9">
        <w:tc>
          <w:tcPr>
            <w:tcW w:w="817" w:type="dxa"/>
          </w:tcPr>
          <w:p w:rsidR="00EC1CA9" w:rsidRDefault="00EC1CA9" w:rsidP="00CB7B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8505" w:type="dxa"/>
          </w:tcPr>
          <w:p w:rsidR="00EC1CA9" w:rsidRDefault="00EC1CA9" w:rsidP="00EC1CA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1CA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Более двух степеней свободы. Теорема Нехорошева. Нехорошевская структура.</w:t>
            </w:r>
          </w:p>
        </w:tc>
      </w:tr>
      <w:tr w:rsidR="00EC1CA9" w:rsidTr="00EC1CA9">
        <w:tc>
          <w:tcPr>
            <w:tcW w:w="817" w:type="dxa"/>
          </w:tcPr>
          <w:p w:rsidR="00EC1CA9" w:rsidRDefault="00EC1CA9" w:rsidP="00CB7B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8505" w:type="dxa"/>
          </w:tcPr>
          <w:p w:rsidR="00EC1CA9" w:rsidRDefault="00EC1CA9" w:rsidP="00EC1CA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1CA9">
              <w:rPr>
                <w:rFonts w:ascii="Times New Roman" w:hAnsi="Times New Roman" w:cs="Times New Roman"/>
                <w:sz w:val="28"/>
                <w:szCs w:val="28"/>
              </w:rPr>
              <w:t>Вековая динамика малых тел. Линейное интегрируемое приближение</w:t>
            </w:r>
          </w:p>
        </w:tc>
      </w:tr>
      <w:tr w:rsidR="00EC1CA9" w:rsidTr="00EC1CA9">
        <w:tc>
          <w:tcPr>
            <w:tcW w:w="817" w:type="dxa"/>
          </w:tcPr>
          <w:p w:rsidR="00EC1CA9" w:rsidRDefault="00EC1CA9" w:rsidP="00CB7B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8505" w:type="dxa"/>
          </w:tcPr>
          <w:p w:rsidR="00EC1CA9" w:rsidRDefault="00EC1CA9" w:rsidP="00EC1CA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1CA9">
              <w:rPr>
                <w:rFonts w:ascii="Times New Roman" w:hAnsi="Times New Roman" w:cs="Times New Roman"/>
                <w:sz w:val="28"/>
                <w:szCs w:val="28"/>
              </w:rPr>
              <w:t xml:space="preserve">Интегрируемое приближение </w:t>
            </w:r>
            <w:proofErr w:type="spellStart"/>
            <w:r w:rsidRPr="00EC1CA9">
              <w:rPr>
                <w:rFonts w:ascii="Times New Roman" w:hAnsi="Times New Roman" w:cs="Times New Roman"/>
                <w:sz w:val="28"/>
                <w:szCs w:val="28"/>
              </w:rPr>
              <w:t>Козаи</w:t>
            </w:r>
            <w:proofErr w:type="spellEnd"/>
            <w:r w:rsidRPr="00EC1CA9">
              <w:rPr>
                <w:rFonts w:ascii="Times New Roman" w:hAnsi="Times New Roman" w:cs="Times New Roman"/>
                <w:sz w:val="28"/>
                <w:szCs w:val="28"/>
              </w:rPr>
              <w:t xml:space="preserve">. Динамика </w:t>
            </w:r>
            <w:proofErr w:type="spellStart"/>
            <w:r w:rsidRPr="00EC1CA9">
              <w:rPr>
                <w:rFonts w:ascii="Times New Roman" w:hAnsi="Times New Roman" w:cs="Times New Roman"/>
                <w:sz w:val="28"/>
                <w:szCs w:val="28"/>
              </w:rPr>
              <w:t>Козаи</w:t>
            </w:r>
            <w:proofErr w:type="spellEnd"/>
            <w:r w:rsidRPr="00EC1CA9">
              <w:rPr>
                <w:rFonts w:ascii="Times New Roman" w:hAnsi="Times New Roman" w:cs="Times New Roman"/>
                <w:sz w:val="28"/>
                <w:szCs w:val="28"/>
              </w:rPr>
              <w:t xml:space="preserve"> внутри орбиты главного возмущающего тела. Динамика </w:t>
            </w:r>
            <w:proofErr w:type="spellStart"/>
            <w:r w:rsidRPr="00EC1CA9">
              <w:rPr>
                <w:rFonts w:ascii="Times New Roman" w:hAnsi="Times New Roman" w:cs="Times New Roman"/>
                <w:sz w:val="28"/>
                <w:szCs w:val="28"/>
              </w:rPr>
              <w:t>Козаи</w:t>
            </w:r>
            <w:proofErr w:type="spellEnd"/>
            <w:r w:rsidRPr="00EC1CA9">
              <w:rPr>
                <w:rFonts w:ascii="Times New Roman" w:hAnsi="Times New Roman" w:cs="Times New Roman"/>
                <w:sz w:val="28"/>
                <w:szCs w:val="28"/>
              </w:rPr>
              <w:t xml:space="preserve"> снаружи орбиты главного возмущающего тела. Переменные «действие - угол» для гамильтониана </w:t>
            </w:r>
            <w:proofErr w:type="spellStart"/>
            <w:r w:rsidRPr="00EC1CA9">
              <w:rPr>
                <w:rFonts w:ascii="Times New Roman" w:hAnsi="Times New Roman" w:cs="Times New Roman"/>
                <w:sz w:val="28"/>
                <w:szCs w:val="28"/>
              </w:rPr>
              <w:t>Козаи</w:t>
            </w:r>
            <w:proofErr w:type="spellEnd"/>
            <w:r w:rsidRPr="00EC1CA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EC1CA9" w:rsidTr="00EC1CA9">
        <w:tc>
          <w:tcPr>
            <w:tcW w:w="817" w:type="dxa"/>
          </w:tcPr>
          <w:p w:rsidR="00EC1CA9" w:rsidRDefault="00EC1CA9" w:rsidP="00CB7B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27</w:t>
            </w:r>
          </w:p>
        </w:tc>
        <w:tc>
          <w:tcPr>
            <w:tcW w:w="8505" w:type="dxa"/>
          </w:tcPr>
          <w:p w:rsidR="00EC1CA9" w:rsidRDefault="00EC1CA9" w:rsidP="00EC1CA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1CA9">
              <w:rPr>
                <w:rFonts w:ascii="Times New Roman" w:hAnsi="Times New Roman" w:cs="Times New Roman"/>
                <w:sz w:val="28"/>
                <w:szCs w:val="28"/>
              </w:rPr>
              <w:t>Резонансы средних движений. Простое интегрируемое приближение. «Фазовая защита» от столкновений с планетами.</w:t>
            </w:r>
          </w:p>
        </w:tc>
      </w:tr>
      <w:tr w:rsidR="00EC1CA9" w:rsidTr="00EC1CA9">
        <w:tc>
          <w:tcPr>
            <w:tcW w:w="817" w:type="dxa"/>
          </w:tcPr>
          <w:p w:rsidR="00EC1CA9" w:rsidRDefault="00EC1CA9" w:rsidP="00CB7B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8505" w:type="dxa"/>
          </w:tcPr>
          <w:p w:rsidR="00EC1CA9" w:rsidRDefault="00EC1CA9" w:rsidP="00EC1CA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1CA9">
              <w:rPr>
                <w:rFonts w:ascii="Times New Roman" w:hAnsi="Times New Roman" w:cs="Times New Roman"/>
                <w:sz w:val="28"/>
                <w:szCs w:val="28"/>
              </w:rPr>
              <w:t>Перекрытие средних движений. Порог перекрытия вблизи планеты. Перекрытие планетных резонансов.</w:t>
            </w:r>
          </w:p>
        </w:tc>
      </w:tr>
      <w:tr w:rsidR="00EC1CA9" w:rsidTr="00EC1CA9">
        <w:tc>
          <w:tcPr>
            <w:tcW w:w="817" w:type="dxa"/>
          </w:tcPr>
          <w:p w:rsidR="00EC1CA9" w:rsidRDefault="00EC1CA9" w:rsidP="00CB7B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8505" w:type="dxa"/>
          </w:tcPr>
          <w:p w:rsidR="00EC1CA9" w:rsidRDefault="00EC1CA9" w:rsidP="00EC1CA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1CA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Трехтельные резонансы. Происхождение резонансных членов в возмущениии.</w:t>
            </w:r>
          </w:p>
        </w:tc>
      </w:tr>
      <w:tr w:rsidR="00EC1CA9" w:rsidTr="00EC1CA9">
        <w:tc>
          <w:tcPr>
            <w:tcW w:w="817" w:type="dxa"/>
          </w:tcPr>
          <w:p w:rsidR="00EC1CA9" w:rsidRDefault="00EC1CA9" w:rsidP="00CB7B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8505" w:type="dxa"/>
          </w:tcPr>
          <w:p w:rsidR="00EC1CA9" w:rsidRDefault="00EC1CA9" w:rsidP="00EC1CA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C1CA9">
              <w:rPr>
                <w:rFonts w:ascii="Times New Roman" w:hAnsi="Times New Roman" w:cs="Times New Roman"/>
                <w:sz w:val="28"/>
                <w:szCs w:val="28"/>
              </w:rPr>
              <w:t>Трехтельные</w:t>
            </w:r>
            <w:proofErr w:type="spellEnd"/>
            <w:r w:rsidRPr="00EC1CA9">
              <w:rPr>
                <w:rFonts w:ascii="Times New Roman" w:hAnsi="Times New Roman" w:cs="Times New Roman"/>
                <w:sz w:val="28"/>
                <w:szCs w:val="28"/>
              </w:rPr>
              <w:t xml:space="preserve"> резонансные мультиплеты.</w:t>
            </w:r>
          </w:p>
        </w:tc>
      </w:tr>
    </w:tbl>
    <w:p w:rsidR="00EC1CA9" w:rsidRDefault="00EC1CA9" w:rsidP="00CB7B4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C1CA9" w:rsidRDefault="00EC1CA9" w:rsidP="00CB7B4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C1CA9" w:rsidRDefault="00EC1CA9" w:rsidP="00CB7B4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068AC" w:rsidRDefault="006068AC" w:rsidP="00CB7B4B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sectPr w:rsidR="006068AC" w:rsidSect="005324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B59CE"/>
    <w:rsid w:val="002D7BBD"/>
    <w:rsid w:val="00431BD2"/>
    <w:rsid w:val="005324F0"/>
    <w:rsid w:val="005A7DEF"/>
    <w:rsid w:val="005E26C4"/>
    <w:rsid w:val="006068AC"/>
    <w:rsid w:val="006901FB"/>
    <w:rsid w:val="007C60DB"/>
    <w:rsid w:val="009A5C1B"/>
    <w:rsid w:val="00A53381"/>
    <w:rsid w:val="00BF6F58"/>
    <w:rsid w:val="00CB7B4B"/>
    <w:rsid w:val="00E179DC"/>
    <w:rsid w:val="00EB59CE"/>
    <w:rsid w:val="00EC1CA9"/>
    <w:rsid w:val="00FB6D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24F0"/>
  </w:style>
  <w:style w:type="paragraph" w:styleId="2">
    <w:name w:val="heading 2"/>
    <w:basedOn w:val="a"/>
    <w:next w:val="a"/>
    <w:link w:val="20"/>
    <w:qFormat/>
    <w:rsid w:val="00EC1CA9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B59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B59CE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rsid w:val="00EC1CA9"/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character" w:customStyle="1" w:styleId="6">
    <w:name w:val="Заголовок №6_"/>
    <w:link w:val="60"/>
    <w:rsid w:val="00EC1CA9"/>
    <w:rPr>
      <w:spacing w:val="10"/>
      <w:sz w:val="23"/>
      <w:szCs w:val="23"/>
      <w:shd w:val="clear" w:color="auto" w:fill="FFFFFF"/>
    </w:rPr>
  </w:style>
  <w:style w:type="paragraph" w:customStyle="1" w:styleId="60">
    <w:name w:val="Заголовок №6"/>
    <w:basedOn w:val="a"/>
    <w:link w:val="6"/>
    <w:rsid w:val="00EC1CA9"/>
    <w:pPr>
      <w:shd w:val="clear" w:color="auto" w:fill="FFFFFF"/>
      <w:spacing w:before="120" w:after="120" w:line="0" w:lineRule="atLeast"/>
      <w:jc w:val="both"/>
      <w:outlineLvl w:val="5"/>
    </w:pPr>
    <w:rPr>
      <w:spacing w:val="10"/>
      <w:sz w:val="23"/>
      <w:szCs w:val="23"/>
    </w:rPr>
  </w:style>
  <w:style w:type="paragraph" w:customStyle="1" w:styleId="LabTitle">
    <w:name w:val="Lab Title"/>
    <w:qFormat/>
    <w:rsid w:val="00EC1CA9"/>
    <w:pPr>
      <w:spacing w:before="360" w:after="240" w:line="240" w:lineRule="auto"/>
      <w:outlineLvl w:val="0"/>
    </w:pPr>
    <w:rPr>
      <w:rFonts w:ascii="Arial" w:eastAsia="Times New Roman" w:hAnsi="Arial" w:cs="Arial"/>
      <w:sz w:val="32"/>
      <w:szCs w:val="32"/>
      <w:lang w:val="en-US"/>
    </w:rPr>
  </w:style>
  <w:style w:type="character" w:customStyle="1" w:styleId="21">
    <w:name w:val="Заголовок №2_"/>
    <w:link w:val="22"/>
    <w:rsid w:val="00EC1CA9"/>
    <w:rPr>
      <w:shd w:val="clear" w:color="auto" w:fill="FFFFFF"/>
    </w:rPr>
  </w:style>
  <w:style w:type="paragraph" w:customStyle="1" w:styleId="22">
    <w:name w:val="Заголовок №2"/>
    <w:basedOn w:val="a"/>
    <w:link w:val="21"/>
    <w:rsid w:val="00EC1CA9"/>
    <w:pPr>
      <w:shd w:val="clear" w:color="auto" w:fill="FFFFFF"/>
      <w:spacing w:after="0" w:line="0" w:lineRule="atLeast"/>
      <w:outlineLvl w:val="1"/>
    </w:pPr>
  </w:style>
  <w:style w:type="table" w:styleId="a5">
    <w:name w:val="Table Grid"/>
    <w:basedOn w:val="a1"/>
    <w:uiPriority w:val="59"/>
    <w:rsid w:val="00EC1C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</Pages>
  <Words>329</Words>
  <Characters>1877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Minglibayev</cp:lastModifiedBy>
  <cp:revision>5</cp:revision>
  <dcterms:created xsi:type="dcterms:W3CDTF">2016-01-15T06:56:00Z</dcterms:created>
  <dcterms:modified xsi:type="dcterms:W3CDTF">2016-01-18T10:13:00Z</dcterms:modified>
</cp:coreProperties>
</file>